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body>
    <w:p w:rsidR="00AD2FFC" w:rsidRDefault="00AD2FFC">
      <w:pPr>
        <w:ind w:firstLine="480"/>
        <w:spacing w:line="360" w:lineRule="auto"/>
        <w:rPr>
          <w:sz w:val="24"/>
          <w:szCs w:val="24"/>
        </w:rPr>
      </w:pPr>
    </w:p>
    <w:p w:rsidR="00AD2FFC" w:rsidRDefault="00625934">
      <w:pPr>
        <w:jc w:val="center"/>
        <w:ind w:firstLine="480"/>
        <w:spacing w:line="360" w:lineRule="auto"/>
        <w:rPr>
          <w:sz w:val="24"/>
          <w:szCs w:val="24"/>
        </w:rPr>
      </w:pPr>
      <w:r>
        <w:rPr>
          <w:rFonts w:hint="eastAsia"/>
          <w:sz w:val="24"/>
          <w:szCs w:val="24"/>
        </w:rPr>
        <w:t>蓬安县人民医院终端安全管理系统采购项目</w:t>
      </w:r>
    </w:p>
    <w:p w:rsidR="00AD2FFC" w:rsidRDefault="00625934">
      <w:pPr>
        <w:widowControl/>
        <w:shd w:fill="FFFFFF" w:color="auto" w:val="clear"/>
        <w:jc w:val="center"/>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编号：SCPAXYY2023017</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为保障医院信息系统安全运行，经医院研究决定对医院终端安全管理系统进行公开招标，本项目招标控制价为</w:t>
      </w:r>
      <w:r>
        <w:rPr>
          <w:rFonts w:hint="eastAsia"/>
          <w:sz w:val="24"/>
          <w:szCs w:val="24"/>
        </w:rPr>
        <w:t>8.5</w:t>
      </w:r>
      <w:r>
        <w:rPr>
          <w:kern w:val="0"/>
          <w:lang w:bidi="ar"/>
          <w:color w:val="000000"/>
          <w:rFonts w:ascii="微软雅黑" w:cs="微软雅黑" w:eastAsia="微软雅黑" w:hAnsi="微软雅黑" w:hint="eastAsia"/>
          <w:szCs w:val="21"/>
          <w:shd w:fill="FFFFFF" w:color="auto" w:val="clear"/>
        </w:rPr>
        <w:t>万元，诚邀符合条件的供应商参与投标。</w:t>
      </w:r>
    </w:p>
    <w:p w:rsidR="00AD2FFC" w:rsidRDefault="00625934">
      <w:pPr>
        <w:widowControl/>
        <w:shd w:fill="FFFFFF" w:color="auto" w:val="clear"/>
        <w:jc w:val="left"/>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一、对参加投标公司的资质要求：</w:t>
      </w:r>
    </w:p>
    <w:p w:rsidR="00AD2FFC" w:rsidRDefault="00625934">
      <w:pPr>
        <w:spacing w:line="360" w:lineRule="auto"/>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 xml:space="preserve">    1、具有独立承担民事责任的能力的合法供应商。（加盖供应商公章）</w:t>
      </w:r>
    </w:p>
    <w:p w:rsidR="00AD2FFC" w:rsidRDefault="00625934">
      <w:pPr>
        <w:ind w:firstLine="420"/>
        <w:spacing w:line="360" w:lineRule="auto"/>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2、具有良好的商业信誉和健全的财务会计制度，有依法缴纳税收和社会保障资金的良好纪录（提供承诺函加盖供应商公章，格式自拟）</w:t>
      </w:r>
    </w:p>
    <w:p w:rsidR="00AD2FFC" w:rsidRDefault="00625934">
      <w:pPr>
        <w:ind w:firstLine="420"/>
        <w:spacing w:line="360" w:lineRule="auto"/>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3、具有履行合同所必需的设备和专业技术能力。（提供承诺函加盖供应商公章，格式自拟）</w:t>
      </w:r>
    </w:p>
    <w:p w:rsidR="00AD2FFC" w:rsidRDefault="00625934">
      <w:pPr>
        <w:ind w:firstLine="420"/>
        <w:spacing w:line="360" w:lineRule="auto"/>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4、参加采购活动前三年内，在经营活动中没有重大违法记录。（提供承诺函加盖供应商公章，格式自拟）</w:t>
      </w:r>
    </w:p>
    <w:p w:rsidR="00AD2FFC" w:rsidRDefault="00625934">
      <w:pPr>
        <w:ind w:firstLine="420"/>
        <w:spacing w:line="360" w:lineRule="auto"/>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5、供应商不得为“信用中国”网站(www.creditchina.gov.cn)中列入失信被执行人和重大税收违法失信主体名单的供应商。（提供承诺函加盖供应商公章，格式自拟）</w:t>
      </w:r>
    </w:p>
    <w:p w:rsidR="00AD2FFC" w:rsidRDefault="00625934">
      <w:pPr>
        <w:shd w:fill="FFFFFF" w:color="auto" w:val="clear"/>
        <w:pStyle w:val="a8"/>
        <w:spacing w:before="0" w:beforeAutospacing="0" w:after="0" w:afterAutospacing="0"/>
        <w:rPr>
          <w:color w:val="000000"/>
          <w:rFonts w:ascii="微软雅黑" w:cs="微软雅黑" w:eastAsia="微软雅黑" w:hAnsi="微软雅黑"/>
          <w:sz w:val="21"/>
          <w:szCs w:val="21"/>
        </w:rPr>
      </w:pPr>
      <w:r>
        <w:rPr>
          <w:lang w:bidi="ar"/>
          <w:color w:val="000000"/>
          <w:rFonts w:ascii="微软雅黑" w:cs="微软雅黑" w:eastAsia="微软雅黑" w:hAnsi="微软雅黑" w:hint="eastAsia"/>
          <w:sz w:val="21"/>
          <w:szCs w:val="21"/>
          <w:shd w:fill="FFFFFF" w:color="auto" w:val="clear"/>
        </w:rPr>
        <w:t>2.其他未尽事宜以现场要求为准。</w:t>
      </w:r>
    </w:p>
    <w:p w:rsidR="00AD2FFC" w:rsidRDefault="00625934">
      <w:pPr>
        <w:shd w:fill="FFFFFF" w:color="auto" w:val="clear"/>
        <w:pStyle w:val="a8"/>
        <w:spacing w:before="0" w:beforeAutospacing="0" w:after="0" w:afterAutospacing="0"/>
        <w:rPr>
          <w:color w:val="000000"/>
          <w:rFonts w:ascii="微软雅黑" w:cs="微软雅黑" w:eastAsia="微软雅黑" w:hAnsi="微软雅黑"/>
          <w:sz w:val="21"/>
          <w:szCs w:val="21"/>
        </w:rPr>
      </w:pPr>
      <w:r>
        <w:rPr>
          <w:lang w:bidi="ar"/>
          <w:color w:val="000000"/>
          <w:rFonts w:ascii="微软雅黑" w:cs="微软雅黑" w:eastAsia="微软雅黑" w:hAnsi="微软雅黑" w:hint="eastAsia"/>
          <w:sz w:val="21"/>
          <w:szCs w:val="21"/>
          <w:shd w:fill="FFFFFF" w:color="auto" w:val="clear"/>
        </w:rPr>
        <w:t>3.本项目不接受联合体响应。</w:t>
      </w:r>
    </w:p>
    <w:p w:rsidR="00AD2FFC" w:rsidRDefault="00625934">
      <w:pPr>
        <w:widowControl/>
        <w:shd w:fill="FFFFFF" w:color="auto" w:val="clear"/>
        <w:jc w:val="left"/>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二、公示时间及流程</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1.报名时间：2023年 8月 30日至2023年9月 1 日（报名：上午9：00至12：00；下午3：00至6：00，节假日除外。）</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2.供应商报名应提供资料如下：供应商为法人或者其他组织的，经办人员需提供供应商单位开具的介绍信或法人授权书（需注明项目名称、项目编号、日期或有效期）、经办人员身份证复印件（盖公章）；供应商为自然人的，需提供本人身份证复印件（签字并按</w:t>
      </w:r>
      <w:r>
        <w:rPr>
          <w:kern w:val="0"/>
          <w:lang w:bidi="ar"/>
          <w:color w:val="000000"/>
          <w:rFonts w:ascii="微软雅黑" w:cs="微软雅黑" w:eastAsia="微软雅黑" w:hAnsi="微软雅黑" w:hint="eastAsia"/>
          <w:szCs w:val="21"/>
          <w:shd w:fill="FFFFFF" w:color="auto" w:val="clear"/>
        </w:rPr>
        <w:t>手印）并登记。报名截止之后将再次核查报名资料，如若出现报名资料不齐或者报名资料有误则报名不成功。</w:t>
        <w:lastRenderedPageBreak/>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3.报名方式：</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3.1现场报名：供应商如自愿现场报名，经办人员应当现场提交完整报名资料（现场查验身份证原件）。</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注：①供应商报名时须如实填写项目信息及供应商信息，如因供应商提供的信息错误导致对其参加的采购活动有影响，后果由供应商自行承担。</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②报名截止时间前没有递交报名资料的供应商均不得参加本次采购活动。供应商提供的资料须真实、完整、有效，未按要求提供资料的医院不予受理，提供资料中出现虚假、错误信息等所带来的后果由供应商自行承担。</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报名地点：蓬安县人民医院采购办，联系人：韩老师，电话：13990837526</w:t>
      </w:r>
    </w:p>
    <w:p w:rsidR="00AD2FFC" w:rsidRDefault="00625934">
      <w:pPr>
        <w:widowControl/>
        <w:shd w:fill="FFFFFF" w:color="auto" w:val="clear"/>
        <w:jc w:val="left"/>
        <w:ind w:firstLine="480"/>
        <w:rPr>
          <w:color w:val="000000"/>
          <w:rFonts w:ascii="微软雅黑" w:cs="微软雅黑" w:eastAsia="微软雅黑" w:hAnsi="微软雅黑"/>
          <w:szCs w:val="21"/>
        </w:rPr>
      </w:pPr>
      <w:r>
        <w:rPr>
          <w:kern w:val="0"/>
          <w:lang w:bidi="ar"/>
          <w:color w:val="000000"/>
          <w:rFonts w:ascii="微软雅黑" w:cs="微软雅黑" w:eastAsia="微软雅黑" w:hAnsi="微软雅黑" w:hint="eastAsia"/>
          <w:szCs w:val="21"/>
          <w:shd w:fill="FFFFFF" w:color="auto" w:val="clear"/>
        </w:rPr>
        <w:t>4. 递交投标文件截止时间/竞谈开标时间：2023年 9月4日上午9：30，投标人需持身份证（并复印件）和法人委托书在医院门诊五楼议价室参与开标。</w:t>
      </w:r>
    </w:p>
    <w:p w:rsidR="00AD2FFC" w:rsidRDefault="00625934">
      <w:pPr>
        <w:widowControl/>
        <w:shd w:fill="FFFFFF" w:color="auto" w:val="clear"/>
        <w:jc w:val="left"/>
        <w:ind w:firstLine="482"/>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5.评标办法：最低价法。</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三、商务要求</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（1）交付要求：在合同签订前，单位将对交付的产品进行技术参数验证，如虚假响应，以无效投标文件处理，拉入我单位采购黑名单；</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（2）付款方式：签订合同后，项目实施完成交付验收后，支付项目总金额的</w:t>
      </w:r>
      <w:r w:rsidR="003C0A15">
        <w:rPr>
          <w:kern w:val="0"/>
          <w:lang w:bidi="ar"/>
          <w:color w:val="000000"/>
          <w:rFonts w:ascii="微软雅黑" w:cs="微软雅黑" w:eastAsia="微软雅黑" w:hAnsi="微软雅黑"/>
          <w:szCs w:val="21"/>
          <w:shd w:fill="FFFFFF" w:color="auto" w:val="clear"/>
        </w:rPr>
        <w:t>10</w:t>
      </w:r>
      <w:r>
        <w:rPr>
          <w:kern w:val="0"/>
          <w:lang w:bidi="ar"/>
          <w:color w:val="000000"/>
          <w:rFonts w:ascii="微软雅黑" w:cs="微软雅黑" w:eastAsia="微软雅黑" w:hAnsi="微软雅黑" w:hint="eastAsia"/>
          <w:szCs w:val="21"/>
          <w:shd w:fill="FFFFFF" w:color="auto" w:val="clear"/>
        </w:rPr>
        <w:t>0%。</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为更好的保障本项目实施质量，需提供针对本项目的原厂3年售后服务承诺。</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（3）竞谈文件应包括以下内容</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（1）、报价一览表</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（2）、法定代表人授权书（非法定代表人投标适用，原件）</w:t>
        <w:lastRenderedPageBreak/>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（3）、法定代表人身份证复印件</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（4）、授权代表身份证复印件（非法定代表人投标适用）</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（5）、投标人、原厂售后服务承诺书</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w:t>
      </w:r>
      <w:r w:rsidR="009868EF">
        <w:rPr>
          <w:kern w:val="0"/>
          <w:lang w:bidi="ar"/>
          <w:color w:val="000000"/>
          <w:rFonts w:ascii="微软雅黑" w:cs="微软雅黑" w:eastAsia="微软雅黑" w:hAnsi="微软雅黑"/>
          <w:szCs w:val="21"/>
          <w:shd w:fill="FFFFFF" w:color="auto" w:val="clear"/>
        </w:rPr>
        <w:t>6</w:t>
      </w:r>
      <w:r>
        <w:rPr>
          <w:kern w:val="0"/>
          <w:lang w:bidi="ar"/>
          <w:color w:val="000000"/>
          <w:rFonts w:ascii="微软雅黑" w:cs="微软雅黑" w:eastAsia="微软雅黑" w:hAnsi="微软雅黑" w:hint="eastAsia"/>
          <w:szCs w:val="21"/>
          <w:shd w:fill="FFFFFF" w:color="auto" w:val="clear"/>
        </w:rPr>
        <w:t>）、营业执照</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w:t>
      </w:r>
      <w:r w:rsidR="009868EF">
        <w:rPr>
          <w:kern w:val="0"/>
          <w:lang w:bidi="ar"/>
          <w:color w:val="000000"/>
          <w:rFonts w:ascii="微软雅黑" w:cs="微软雅黑" w:eastAsia="微软雅黑" w:hAnsi="微软雅黑"/>
          <w:szCs w:val="21"/>
          <w:shd w:fill="FFFFFF" w:color="auto" w:val="clear"/>
        </w:rPr>
        <w:t>7</w:t>
      </w:r>
      <w:r>
        <w:rPr>
          <w:kern w:val="0"/>
          <w:lang w:bidi="ar"/>
          <w:color w:val="000000"/>
          <w:rFonts w:ascii="微软雅黑" w:cs="微软雅黑" w:eastAsia="微软雅黑" w:hAnsi="微软雅黑" w:hint="eastAsia"/>
          <w:szCs w:val="21"/>
          <w:shd w:fill="FFFFFF" w:color="auto" w:val="clear"/>
        </w:rPr>
        <w:t>）、响应申请人基本情况表</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w:t>
      </w:r>
      <w:r w:rsidR="009868EF">
        <w:rPr>
          <w:kern w:val="0"/>
          <w:lang w:bidi="ar"/>
          <w:color w:val="000000"/>
          <w:rFonts w:ascii="微软雅黑" w:cs="微软雅黑" w:eastAsia="微软雅黑" w:hAnsi="微软雅黑"/>
          <w:szCs w:val="21"/>
          <w:shd w:fill="FFFFFF" w:color="auto" w:val="clear"/>
        </w:rPr>
        <w:t>8</w:t>
      </w:r>
      <w:r>
        <w:rPr>
          <w:kern w:val="0"/>
          <w:lang w:bidi="ar"/>
          <w:color w:val="000000"/>
          <w:rFonts w:ascii="微软雅黑" w:cs="微软雅黑" w:eastAsia="微软雅黑" w:hAnsi="微软雅黑" w:hint="eastAsia"/>
          <w:szCs w:val="21"/>
          <w:shd w:fill="FFFFFF" w:color="auto" w:val="clear"/>
        </w:rPr>
        <w:t>）、项目主要人员配备表</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w:t>
      </w:r>
      <w:r w:rsidR="009868EF">
        <w:rPr>
          <w:kern w:val="0"/>
          <w:lang w:bidi="ar"/>
          <w:color w:val="000000"/>
          <w:rFonts w:ascii="微软雅黑" w:cs="微软雅黑" w:eastAsia="微软雅黑" w:hAnsi="微软雅黑"/>
          <w:szCs w:val="21"/>
          <w:shd w:fill="FFFFFF" w:color="auto" w:val="clear"/>
        </w:rPr>
        <w:t>9</w:t>
      </w:r>
      <w:r>
        <w:rPr>
          <w:kern w:val="0"/>
          <w:lang w:bidi="ar"/>
          <w:color w:val="000000"/>
          <w:rFonts w:ascii="微软雅黑" w:cs="微软雅黑" w:eastAsia="微软雅黑" w:hAnsi="微软雅黑" w:hint="eastAsia"/>
          <w:szCs w:val="21"/>
          <w:shd w:fill="FFFFFF" w:color="auto" w:val="clear"/>
        </w:rPr>
        <w:t>）、其他需要提供的资料</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w:t>
      </w:r>
      <w:r w:rsidR="009868EF">
        <w:rPr>
          <w:kern w:val="0"/>
          <w:lang w:bidi="ar"/>
          <w:color w:val="000000"/>
          <w:rFonts w:ascii="微软雅黑" w:cs="微软雅黑" w:eastAsia="微软雅黑" w:hAnsi="微软雅黑"/>
          <w:szCs w:val="21"/>
          <w:shd w:fill="FFFFFF" w:color="auto" w:val="clear"/>
        </w:rPr>
        <w:t>0</w:t>
      </w:r>
      <w:r>
        <w:rPr>
          <w:kern w:val="0"/>
          <w:lang w:bidi="ar"/>
          <w:color w:val="000000"/>
          <w:rFonts w:ascii="微软雅黑" w:cs="微软雅黑" w:eastAsia="微软雅黑" w:hAnsi="微软雅黑" w:hint="eastAsia"/>
          <w:szCs w:val="21"/>
          <w:shd w:fill="FFFFFF" w:color="auto" w:val="clear"/>
        </w:rPr>
        <w:t>）、投标文件均须提供正本一份，按序左侧胶装，每页加盖公司印章，需用档案袋密封，封装袋上注明公司及项目名称，加盖公司鲜章。</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四、项目内容及要求：</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1、产品技术参数</w:t>
      </w:r>
    </w:p>
    <w:tbl>
      <w:tblPr>
        <w:tblW w:w="9078" w:type="dxa"/>
        <w:tblLayout w:type="fixed"/>
        <w:tblBorders>
          <w:top w:val="single" w:sz="4" w:color="auto" w:space="0"/>
          <w:bottom w:val="single" w:sz="4" w:color="auto" w:space="0"/>
          <w:left w:val="single" w:sz="4" w:color="auto" w:space="0"/>
          <w:right w:val="single" w:sz="4" w:color="auto" w:space="0"/>
          <w:insideH w:val="single" w:sz="4" w:color="auto" w:space="0"/>
          <w:insideV w:val="single" w:sz="4" w:color="auto" w:space="0"/>
        </w:tblBorders>
        <w:tblLook w:val="4A0"/>
      </w:tblPr>
      <w:tblGrid>
        <w:gridCol w:w="704"/>
        <w:gridCol w:w="1276"/>
        <w:gridCol w:w="5670"/>
        <w:gridCol w:w="709"/>
        <w:gridCol w:w="719"/>
      </w:tblGrid>
      <w:tr w:rsidR="00AD2FFC">
        <w:trPr>
          <w:tblHeader/>
          <w:trHeight w:val="274"/>
        </w:trPr>
        <w:tc>
          <w:tcPr>
            <w:tcBorders>
              <w:top w:val="single" w:sz="4" w:color="auto" w:space="0"/>
              <w:bottom w:val="single" w:sz="4" w:color="auto" w:space="0"/>
              <w:left w:val="single" w:sz="4" w:color="auto" w:space="0"/>
              <w:right w:val="single" w:sz="4" w:color="auto" w:space="0"/>
            </w:tcBorders>
            <w:vAlign w:val="center"/>
            <w:tcW w:w="704" w:type="dxa"/>
          </w:tcPr>
          <w:p w:rsidR="00AD2FFC" w:rsidRDefault="00625934">
            <w:pPr>
              <w:jc w:val="center"/>
              <w:rPr>
                <w:b/>
                <w:rFonts w:ascii="宋体" w:hAnsi="宋体"/>
                <w:sz w:val="24"/>
                <w:szCs w:val="24"/>
              </w:rPr>
            </w:pPr>
            <w:bookmarkStart w:id="0" w:name="_Hlk40634802"/>
            <w:r>
              <w:rPr>
                <w:b/>
                <w:rFonts w:ascii="宋体" w:hAnsi="宋体" w:hint="eastAsia"/>
                <w:sz w:val="24"/>
                <w:szCs w:val="24"/>
              </w:rPr>
              <w:t>序号</w:t>
            </w:r>
          </w:p>
        </w:tc>
        <w:tc>
          <w:tcPr>
            <w:tcBorders>
              <w:top w:val="single" w:sz="4" w:color="auto" w:space="0"/>
              <w:bottom w:val="single" w:sz="4" w:color="auto" w:space="0"/>
              <w:left w:val="single" w:sz="4" w:color="auto" w:space="0"/>
              <w:right w:val="single" w:sz="4" w:color="auto" w:space="0"/>
            </w:tcBorders>
            <w:vAlign w:val="center"/>
            <w:tcW w:w="1276" w:type="dxa"/>
          </w:tcPr>
          <w:p w:rsidR="00AD2FFC" w:rsidRDefault="00625934">
            <w:pPr>
              <w:jc w:val="center"/>
              <w:rPr>
                <w:b/>
                <w:rFonts w:ascii="宋体" w:hAnsi="宋体"/>
                <w:sz w:val="24"/>
                <w:szCs w:val="24"/>
              </w:rPr>
            </w:pPr>
            <w:r>
              <w:rPr>
                <w:b/>
                <w:rFonts w:ascii="宋体" w:hAnsi="宋体" w:hint="eastAsia"/>
                <w:sz w:val="24"/>
                <w:szCs w:val="24"/>
              </w:rPr>
              <w:t>产品名称</w:t>
            </w:r>
          </w:p>
        </w:tc>
        <w:tc>
          <w:tcPr>
            <w:tcBorders>
              <w:top w:val="single" w:sz="4" w:color="auto" w:space="0"/>
              <w:bottom w:val="single" w:sz="4" w:color="auto" w:space="0"/>
              <w:left w:val="single" w:sz="4" w:color="auto" w:space="0"/>
              <w:right w:val="single" w:sz="4" w:color="auto" w:space="0"/>
            </w:tcBorders>
            <w:vAlign w:val="center"/>
            <w:tcW w:w="5670" w:type="dxa"/>
          </w:tcPr>
          <w:p w:rsidR="00AD2FFC" w:rsidRDefault="00625934">
            <w:pPr>
              <w:jc w:val="center"/>
              <w:rPr>
                <w:b/>
                <w:rFonts w:ascii="宋体" w:hAnsi="宋体"/>
                <w:sz w:val="24"/>
                <w:szCs w:val="24"/>
              </w:rPr>
            </w:pPr>
            <w:r>
              <w:rPr>
                <w:b/>
                <w:rFonts w:ascii="宋体" w:hAnsi="宋体" w:hint="eastAsia"/>
                <w:sz w:val="24"/>
                <w:szCs w:val="24"/>
              </w:rPr>
              <w:t>技术参数</w:t>
            </w:r>
          </w:p>
        </w:tc>
        <w:tc>
          <w:tcPr>
            <w:tcBorders>
              <w:top w:val="single" w:sz="4" w:color="auto" w:space="0"/>
              <w:bottom w:val="single" w:sz="4" w:color="auto" w:space="0"/>
              <w:left w:val="single" w:sz="4" w:color="auto" w:space="0"/>
              <w:right w:val="single" w:sz="4" w:color="auto" w:space="0"/>
            </w:tcBorders>
            <w:tcW w:w="709" w:type="dxa"/>
          </w:tcPr>
          <w:p w:rsidR="00AD2FFC" w:rsidRDefault="00625934">
            <w:pPr>
              <w:jc w:val="center"/>
              <w:rPr>
                <w:b/>
                <w:rFonts w:ascii="宋体" w:hAnsi="宋体"/>
                <w:sz w:val="24"/>
                <w:szCs w:val="24"/>
              </w:rPr>
            </w:pPr>
            <w:r>
              <w:rPr>
                <w:b/>
                <w:rFonts w:ascii="宋体" w:hAnsi="宋体" w:hint="eastAsia"/>
                <w:sz w:val="24"/>
                <w:szCs w:val="24"/>
              </w:rPr>
              <w:t>数量</w:t>
            </w:r>
          </w:p>
        </w:tc>
        <w:tc>
          <w:tcPr>
            <w:tcBorders>
              <w:top w:val="single" w:sz="4" w:color="auto" w:space="0"/>
              <w:bottom w:val="single" w:sz="4" w:color="auto" w:space="0"/>
              <w:left w:val="single" w:sz="4" w:color="auto" w:space="0"/>
              <w:right w:val="single" w:sz="4" w:color="auto" w:space="0"/>
            </w:tcBorders>
            <w:tcW w:w="719" w:type="dxa"/>
          </w:tcPr>
          <w:p w:rsidR="00AD2FFC" w:rsidRDefault="00625934">
            <w:pPr>
              <w:jc w:val="center"/>
              <w:rPr>
                <w:b/>
                <w:rFonts w:ascii="宋体" w:hAnsi="宋体"/>
                <w:sz w:val="24"/>
                <w:szCs w:val="24"/>
              </w:rPr>
            </w:pPr>
            <w:r>
              <w:rPr>
                <w:b/>
                <w:rFonts w:ascii="宋体" w:hAnsi="宋体" w:hint="eastAsia"/>
                <w:sz w:val="24"/>
                <w:szCs w:val="24"/>
              </w:rPr>
              <w:t>单位</w:t>
            </w:r>
          </w:p>
        </w:tc>
      </w:tr>
      <w:tr w:rsidR="00AD2FFC">
        <w:trPr>
          <w:trHeight w:val="432"/>
        </w:trPr>
        <w:tc>
          <w:tcPr>
            <w:tcBorders>
              <w:top w:val="single" w:sz="4" w:color="auto" w:space="0"/>
              <w:bottom w:val="single" w:sz="4" w:color="auto" w:space="0"/>
              <w:left w:val="single" w:sz="4" w:color="auto" w:space="0"/>
              <w:right w:val="single" w:sz="4" w:color="auto" w:space="0"/>
            </w:tcBorders>
            <w:vAlign w:val="center"/>
            <w:tcW w:w="704" w:type="dxa"/>
          </w:tcPr>
          <w:p w:rsidR="00AD2FFC" w:rsidRDefault="00625934">
            <w:pPr>
              <w:jc w:val="center"/>
              <w:rPr>
                <w:rFonts w:ascii="宋体" w:hAnsi="宋体"/>
              </w:rPr>
            </w:pPr>
            <w:r>
              <w:rPr>
                <w:rFonts w:ascii="宋体" w:hAnsi="宋体" w:hint="eastAsia"/>
              </w:rPr>
              <w:t>1</w:t>
            </w:r>
          </w:p>
        </w:tc>
        <w:tc>
          <w:tcPr>
            <w:tcBorders>
              <w:top w:val="single" w:sz="4" w:color="auto" w:space="0"/>
              <w:bottom w:val="single" w:sz="4" w:color="auto" w:space="0"/>
              <w:left w:val="single" w:sz="4" w:color="auto" w:space="0"/>
              <w:right w:val="single" w:sz="4" w:color="auto" w:space="0"/>
            </w:tcBorders>
            <w:vAlign w:val="center"/>
            <w:tcW w:w="1276" w:type="dxa"/>
          </w:tcPr>
          <w:p w:rsidR="00AD2FFC" w:rsidRDefault="00625934">
            <w:pPr>
              <w:jc w:val="center"/>
              <w:rPr>
                <w:rFonts w:ascii="宋体" w:hAnsi="宋体"/>
              </w:rPr>
            </w:pPr>
            <w:r>
              <w:rPr>
                <w:rFonts w:ascii="宋体" w:hAnsi="宋体" w:hint="eastAsia"/>
              </w:rPr>
              <w:t>终端安全</w:t>
            </w:r>
            <w:r>
              <w:rPr>
                <w:rFonts w:ascii="宋体" w:hAnsi="宋体"/>
              </w:rPr>
              <w:t>管理系统</w:t>
            </w:r>
          </w:p>
        </w:tc>
        <w:tc>
          <w:tcPr>
            <w:tcBorders>
              <w:top w:val="single" w:sz="4" w:color="auto" w:space="0"/>
              <w:bottom w:val="single" w:sz="4" w:color="auto" w:space="0"/>
              <w:left w:val="single" w:sz="4" w:color="auto" w:space="0"/>
              <w:right w:val="single" w:sz="4" w:color="auto" w:space="0"/>
            </w:tcBorders>
            <w:vAlign w:val="center"/>
            <w:tcW w:w="5670" w:type="dxa"/>
          </w:tcPr>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1、配置  250 个终端点位授权（Windows版本，服务器和桌面终端共用）。配置20个Linux终端点位授权，终端管理平台配置反病毒引擎、多层次主动防御系统、病毒防御、系统防御、网络防御、终端设备管控等，无需按照模块进行授权。</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2、提供三年规则库更新升级服务。（投标人需出具厂商售后服务承诺函并加盖公章）。</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3、非OEM产品，厂商具备自主研发反病毒引擎、行为沙盒分析模块、病毒实时监控模块等能力。（投标人需出具厂商承诺函并加盖公章）。</w:t>
              <w:lastRenderedPageBreak/>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bookmarkStart w:id="1" w:name="_Hlk135905267"/>
            <w:r>
              <w:rPr>
                <w:kern w:val="0"/>
                <w:lang w:bidi="ar"/>
                <w:color w:val="000000"/>
                <w:rFonts w:ascii="微软雅黑" w:cs="微软雅黑" w:eastAsia="微软雅黑" w:hAnsi="微软雅黑" w:hint="eastAsia"/>
                <w:szCs w:val="21"/>
                <w:shd w:fill="FFFFFF" w:color="auto" w:val="clear"/>
              </w:rPr>
              <w:t>4、为保护用户的隐私权、数据所有权，不会上传用户的任何文件、数据等信息，仅在用户中心控制台联网升级的情况下，上传用户许可相关信息（License</w:t>
            </w:r>
            <w:r w:rsidR="000A69E9">
              <w:rPr>
                <w:kern w:val="0"/>
                <w:lang w:bidi="ar"/>
                <w:color w:val="000000"/>
                <w:rFonts w:ascii="微软雅黑" w:cs="微软雅黑" w:eastAsia="微软雅黑" w:hAnsi="微软雅黑" w:hint="eastAsia"/>
                <w:szCs w:val="21"/>
                <w:shd w:fill="FFFFFF" w:color="auto" w:val="clear"/>
              </w:rPr>
              <w:t>），用于验证正版授权</w:t>
            </w:r>
            <w:bookmarkStart w:id="2" w:name="_GoBack"/>
            <w:bookmarkEnd w:id="2"/>
            <w:r>
              <w:rPr>
                <w:kern w:val="0"/>
                <w:lang w:bidi="ar"/>
                <w:color w:val="000000"/>
                <w:rFonts w:ascii="微软雅黑" w:cs="微软雅黑" w:eastAsia="微软雅黑" w:hAnsi="微软雅黑" w:hint="eastAsia"/>
                <w:szCs w:val="21"/>
                <w:shd w:fill="FFFFFF" w:color="auto" w:val="clear"/>
              </w:rPr>
              <w:t>。</w:t>
            </w:r>
          </w:p>
          <w:bookmarkEnd w:id="1"/>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5、支持采用B/S架构，由控制中心、系统中心、客户端三个模块组成防病毒体系，管理员只需通过浏览器登录控制中心，即可对系统进行管理。</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6、控制中心和客户端均支持Windows XP、Windows 7、Windows 8、Windows 8.1、Windows 10、Windows Server 2003、Windows Server 2008、Windows Server 2012、Windows Server 2016、Windows Server 2019。客户端支持CentOS、Ubuntu、SUSE、Deepin、凝思等主流Linux发行操作系统以及中标麒麟、银河麒麟、红旗、统信、等国产操作系统，一个控制中心能够管控所有支持终端。</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7、中心配备安全工具及管理工具：域部署工具、离线升级工具、中心迁移工具、移动存储注册工具、专杀工具。</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8、可对全网终端下发登记任务，需登记的信息可自定义内容，支持设置必填项或非必填项；且可开启终端安装资产登记功能，运行安装包后需先填写登记信息才可继续安装。</w:t>
              <w:lastRenderedPageBreak/>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9、客户端部署支持本地部署、网页访问部署、域推送安装方式。</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10、控制中心支持直观的展示终端信息、病毒趋势统计、病毒类型排行、病毒排行、终端危险排行等全网统计情况。并随时对网络中威胁发生的情况进行查询，能组合时间、IP、机器名、病毒名称、病毒类型等信息全方位定位、展示。</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11、展示终端基本信息：终端名称、计算机名称、本地IP、通信IP、MAC地址、终端类型、操作系统版本、病毒库版本、终端版本、唯一标识、防御功能状态、禁网状态、策略同步状态、最近登录用户、上线时间、终端标签等。能组合检索项进行全方位查询、定位、展示。</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12、支持中心二次验证，开启该功能后，通过登录中心时进行二次验证的方式，阻止中心遭遇密码泄露、弱口令暴破、撞库等黑客破解行为带来的危害，达到保护控制中心的目的（提供相关功能截图证明并加盖</w:t>
            </w:r>
            <w:r w:rsidR="008C5FD6">
              <w:rPr>
                <w:kern w:val="0"/>
                <w:lang w:bidi="ar"/>
                <w:color w:val="000000"/>
                <w:rFonts w:ascii="微软雅黑" w:cs="微软雅黑" w:eastAsia="微软雅黑" w:hAnsi="微软雅黑" w:hint="eastAsia"/>
                <w:szCs w:val="21"/>
                <w:shd w:fill="FFFFFF" w:color="auto" w:val="clear"/>
              </w:rPr>
              <w:t>投标人</w:t>
            </w:r>
            <w:r>
              <w:rPr>
                <w:kern w:val="0"/>
                <w:lang w:bidi="ar"/>
                <w:color w:val="000000"/>
                <w:rFonts w:ascii="微软雅黑" w:cs="微软雅黑" w:eastAsia="微软雅黑" w:hAnsi="微软雅黑" w:hint="eastAsia"/>
                <w:szCs w:val="21"/>
                <w:shd w:fill="FFFFFF" w:color="auto" w:val="clear"/>
              </w:rPr>
              <w:t>公章）。</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13、为满足等级保护3级双因素认证要求，服务器具有动态口令验证功能，当终端用户登录计算机时都将弹出动态口令安全认证窗口，若用户设置了计算机密码，该弹窗将在用户输入正确的账户密码后弹出。用户需再次输入正确的动态口令才可登入计算机。且可设置应用范围：远程登录时启用或本地登录时启用。（</w:t>
              <w:lastRenderedPageBreak/>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14、免费开放第三方软件调用API接口，包括调用接口获取全部分组信息、调用接口创建分组、调用接口修改分组名称、调用接口删除分组、调用接口查询上线终端情况、调用接口查询终端详情、调用接口修改终端名称、调用接口修改终端分组、调用接口查询终端详情。</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15、支持定制策略包括病毒防御（文件实时监控、恶意行为监控、U盘保护、下载保护、邮件监控）、系统防御（系统加固、软件安装拦截、浏览器保护）、网络防御（黑客入侵拦截、对外攻击检测、恶意网站拦截、IP协议控制、IP黑名单）等，可以根据部门需求定制不同的策略。（</w:t>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16、支持“软件禁用”功能，管理员可按分组设置禁用软件策略；“终端发现”功能，方便管理员查看未安装客户端的终端情况；“违规外联”功能，检测终端是否违</w:t>
            </w:r>
            <w:r>
              <w:rPr>
                <w:kern w:val="0"/>
                <w:lang w:bidi="ar"/>
                <w:color w:val="000000"/>
                <w:rFonts w:ascii="微软雅黑" w:cs="微软雅黑" w:eastAsia="微软雅黑" w:hAnsi="微软雅黑" w:hint="eastAsia"/>
                <w:szCs w:val="21"/>
                <w:shd w:fill="FFFFFF" w:color="auto" w:val="clear"/>
              </w:rPr>
              <w:t>规连接外部网络，并进行管控；“时间同步”设置，开启后终端与中心系统时间将保持一致。</w:t>
              <w:lastRenderedPageBreak/>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17、支持反病毒引擎具有虚拟沙盒技术，能对待扫描的PE样本应用通用脱壳和动态行为扫描技术，用较少的记录，长期、有效地检出家族性样本。要求虚拟沙盒接近真实 CPU 的执行效率和高还原度的操作系统环境仿真且具有很强的抗干扰能力。</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18、支持勒索病毒诱捕，可在根目录生成txt、pem、sql、xlsx、mdb、jpg、rtf、xls、doc、docx等格式的诱捕文件，当出现勒索行为，对其进行捕获并进行隔离（</w:t>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19、中心具有远程桌面功能，可关闭系统自带的远程桌面，使用自研远程桌面功能替代，预防黑客远程桌面爆破（</w:t>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20、支持windows客户端防护具有系统加固功能，阻止某些流氓、广告程序对电脑系统的恶意篡改等行为，提供一套全方位的加固方案，保护电脑系统各个安全关键点。</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21、开启U盘禁用后，客户端可远程申请使用U盘，管理员可根据实际应用场景临时开放U盘使用权限。</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22、要求具有U盘信任功能，当终端开启访问控制-设备控制-U盘设备时，可以通过在中心的“信任设备”功能来添加需要信任的移动存储设备，以允许该设备在任意终端使用。</w:t>
              <w:lastRenderedPageBreak/>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23、要求支持对U盘注册的同时进行加密，即使U盘丢失，也可保护数据，防止数据泄露（</w:t>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p w:rsidR="00AD2FFC" w:rsidRDefault="00625934" w:rsidP="00B37289">
            <w:pPr>
              <w:widowControl/>
              <w:shd w:fill="FFFFFF" w:color="auto" w:val="clear"/>
              <w:jc w:val="left"/>
              <w:ind w:firstLine="480"/>
              <w:rPr>
                <w:kern w:val="0"/>
                <w:lang w:bidi="ar"/>
                <w:color w:val="000000"/>
                <w:rFonts w:ascii="微软雅黑" w:cs="微软雅黑" w:eastAsia="微软雅黑" w:hAnsi="微软雅黑" w:hint="eastAsia"/>
                <w:szCs w:val="21"/>
                <w:shd w:fill="FFFFFF" w:color="auto" w:val="clear"/>
              </w:rPr>
            </w:pPr>
            <w:r>
              <w:rPr>
                <w:kern w:val="0"/>
                <w:lang w:bidi="ar"/>
                <w:color w:val="000000"/>
                <w:rFonts w:ascii="微软雅黑" w:cs="微软雅黑" w:eastAsia="微软雅黑" w:hAnsi="微软雅黑" w:hint="eastAsia"/>
                <w:szCs w:val="21"/>
                <w:shd w:fill="FFFFFF" w:color="auto" w:val="clear"/>
              </w:rPr>
              <w:t>24、考虎到我院部分电脑配置很低，业务系统众多与稳定运行的重要性，要求投标产品的客户端安装后最多占用70M硬盘空间，最多10M的病毒库大小，日常内存占用不到30M，有效节省电脑资源。实现对终端资源占用影响小，让位于业务系统，而查杀率高。</w:t>
            </w:r>
            <w:r w:rsidR="008C5FD6">
              <w:rPr>
                <w:kern w:val="0"/>
                <w:lang w:bidi="ar"/>
                <w:color w:val="000000"/>
                <w:rFonts w:ascii="微软雅黑" w:cs="微软雅黑" w:eastAsia="微软雅黑" w:hAnsi="微软雅黑" w:hint="eastAsia"/>
                <w:szCs w:val="21"/>
                <w:shd w:fill="FFFFFF" w:color="auto" w:val="clear"/>
              </w:rPr>
              <w:t>（</w:t>
            </w:r>
            <w:r w:rsidR="008C5FD6">
              <w:rPr>
                <w:kern w:val="0"/>
                <w:lang w:bidi="ar"/>
                <w:color w:val="000000"/>
                <w:rFonts w:ascii="微软雅黑" w:cs="微软雅黑" w:eastAsia="微软雅黑" w:hAnsi="微软雅黑" w:hint="eastAsia"/>
                <w:szCs w:val="21"/>
                <w:shd w:fill="FFFFFF" w:color="auto" w:val="clear"/>
              </w:rPr>
              <w:t>提供相关功能截图证明并加盖投标人公章</w:t>
            </w:r>
            <w:r>
              <w:rPr>
                <w:kern w:val="0"/>
                <w:lang w:bidi="ar"/>
                <w:color w:val="000000"/>
                <w:rFonts w:ascii="微软雅黑" w:cs="微软雅黑" w:eastAsia="微软雅黑" w:hAnsi="微软雅黑" w:hint="eastAsia"/>
                <w:szCs w:val="21"/>
                <w:shd w:fill="FFFFFF" w:color="auto" w:val="clear"/>
              </w:rPr>
              <w:t>）。</w:t>
            </w:r>
          </w:p>
        </w:tc>
        <w:tc>
          <w:tcPr>
            <w:tcBorders>
              <w:top w:val="single" w:sz="4" w:color="auto" w:space="0"/>
              <w:bottom w:val="single" w:sz="4" w:color="auto" w:space="0"/>
              <w:left w:val="single" w:sz="4" w:color="auto" w:space="0"/>
              <w:right w:val="single" w:sz="4" w:color="auto" w:space="0"/>
            </w:tcBorders>
            <w:vAlign w:val="center"/>
            <w:tcW w:w="709" w:type="dxa"/>
          </w:tcPr>
          <w:p w:rsidR="00AD2FFC" w:rsidRDefault="00625934">
            <w:pPr>
              <w:jc w:val="center"/>
              <w:rPr>
                <w:rFonts w:ascii="宋体" w:hAnsi="宋体"/>
              </w:rPr>
            </w:pPr>
            <w:r>
              <w:rPr>
                <w:rFonts w:ascii="宋体" w:hAnsi="宋体" w:hint="eastAsia"/>
              </w:rPr>
              <w:t>1</w:t>
              <w:lastRenderedPageBreak/>
            </w:r>
          </w:p>
        </w:tc>
        <w:tc>
          <w:tcPr>
            <w:tcBorders>
              <w:top w:val="single" w:sz="4" w:color="auto" w:space="0"/>
              <w:bottom w:val="single" w:sz="4" w:color="auto" w:space="0"/>
              <w:left w:val="single" w:sz="4" w:color="auto" w:space="0"/>
              <w:right w:val="single" w:sz="4" w:color="auto" w:space="0"/>
            </w:tcBorders>
            <w:vAlign w:val="center"/>
            <w:tcW w:w="719" w:type="dxa"/>
          </w:tcPr>
          <w:p w:rsidR="00AD2FFC" w:rsidRDefault="00625934">
            <w:pPr>
              <w:jc w:val="center"/>
              <w:rPr>
                <w:rFonts w:ascii="宋体" w:hAnsi="宋体"/>
              </w:rPr>
            </w:pPr>
            <w:r>
              <w:rPr>
                <w:rFonts w:ascii="宋体" w:hAnsi="宋体"/>
              </w:rPr>
              <w:t>套</w:t>
            </w:r>
          </w:p>
        </w:tc>
      </w:tr>
      <w:tr w:rsidR="00AD2FFC">
        <w:trPr>
          <w:trHeight w:val="432"/>
        </w:trPr>
        <w:tc>
          <w:tcPr>
            <w:tcBorders>
              <w:top w:val="single" w:sz="4" w:color="auto" w:space="0"/>
              <w:bottom w:val="single" w:sz="4" w:color="auto" w:space="0"/>
              <w:left w:val="single" w:sz="4" w:color="auto" w:space="0"/>
              <w:right w:val="single" w:sz="4" w:color="auto" w:space="0"/>
            </w:tcBorders>
            <w:vAlign w:val="center"/>
            <w:tcW w:w="704" w:type="dxa"/>
          </w:tcPr>
          <w:p w:rsidR="00AD2FFC" w:rsidRDefault="00625934">
            <w:pPr>
              <w:jc w:val="center"/>
              <w:rPr>
                <w:rFonts w:ascii="宋体" w:hAnsi="宋体"/>
              </w:rPr>
            </w:pPr>
            <w:r>
              <w:rPr>
                <w:rFonts w:ascii="宋体" w:hAnsi="宋体" w:hint="eastAsia"/>
              </w:rPr>
              <w:t>2</w:t>
              <w:lastRenderedPageBreak/>
            </w:r>
          </w:p>
        </w:tc>
        <w:tc>
          <w:tcPr>
            <w:tcBorders>
              <w:top w:val="single" w:sz="4" w:color="auto" w:space="0"/>
              <w:bottom w:val="single" w:sz="4" w:color="auto" w:space="0"/>
              <w:left w:val="single" w:sz="4" w:color="auto" w:space="0"/>
              <w:right w:val="single" w:sz="4" w:color="auto" w:space="0"/>
            </w:tcBorders>
            <w:vAlign w:val="center"/>
            <w:tcW w:w="1276" w:type="dxa"/>
          </w:tcPr>
          <w:p w:rsidR="00AD2FFC" w:rsidRDefault="00625934">
            <w:pPr>
              <w:rPr>
                <w:rFonts w:ascii="宋体" w:hAnsi="宋体"/>
              </w:rPr>
            </w:pPr>
            <w:r>
              <w:rPr>
                <w:rFonts w:ascii="宋体" w:hAnsi="宋体" w:hint="eastAsia"/>
              </w:rPr>
              <w:t>安全服务</w:t>
            </w:r>
          </w:p>
        </w:tc>
        <w:tc>
          <w:tcPr>
            <w:tcBorders>
              <w:top w:val="single" w:sz="4" w:color="auto" w:space="0"/>
              <w:bottom w:val="single" w:sz="4" w:color="auto" w:space="0"/>
              <w:left w:val="single" w:sz="4" w:color="auto" w:space="0"/>
              <w:right w:val="single" w:sz="4" w:color="auto" w:space="0"/>
            </w:tcBorders>
            <w:vAlign w:val="center"/>
            <w:tcW w:w="5670" w:type="dxa"/>
          </w:tcPr>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1、进行病毒溯源，查找攻击路径。</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2、完成病毒样本分析并形成分析报告，定期生成恶意代码服务报告。</w:t>
            </w:r>
          </w:p>
          <w:p w:rsidR="00AD2FFC" w:rsidRDefault="00625934">
            <w:pPr>
              <w:widowControl/>
              <w:shd w:fill="FFFFFF" w:color="auto" w:val="clear"/>
              <w:jc w:val="left"/>
              <w:ind w:firstLine="480"/>
              <w:rPr>
                <w:kern w:val="0"/>
                <w:lang w:bidi="ar"/>
                <w:color w:val="000000"/>
                <w:rFonts w:ascii="微软雅黑" w:cs="微软雅黑" w:eastAsia="微软雅黑" w:hAnsi="微软雅黑"/>
                <w:szCs w:val="21"/>
                <w:shd w:fill="FFFFFF" w:color="auto" w:val="clear"/>
              </w:rPr>
            </w:pPr>
            <w:r>
              <w:rPr>
                <w:kern w:val="0"/>
                <w:lang w:bidi="ar"/>
                <w:color w:val="000000"/>
                <w:rFonts w:ascii="微软雅黑" w:cs="微软雅黑" w:eastAsia="微软雅黑" w:hAnsi="微软雅黑" w:hint="eastAsia"/>
                <w:szCs w:val="21"/>
                <w:shd w:fill="FFFFFF" w:color="auto" w:val="clear"/>
              </w:rPr>
              <w:t>3、协助处理服务器病毒处理。</w:t>
            </w:r>
          </w:p>
        </w:tc>
        <w:tc>
          <w:tcPr>
            <w:tcBorders>
              <w:top w:val="single" w:sz="4" w:color="auto" w:space="0"/>
              <w:bottom w:val="single" w:sz="4" w:color="auto" w:space="0"/>
              <w:left w:val="single" w:sz="4" w:color="auto" w:space="0"/>
              <w:right w:val="single" w:sz="4" w:color="auto" w:space="0"/>
            </w:tcBorders>
            <w:vAlign w:val="center"/>
            <w:tcW w:w="709" w:type="dxa"/>
          </w:tcPr>
          <w:p w:rsidR="00AD2FFC" w:rsidRDefault="00625934">
            <w:pPr>
              <w:jc w:val="center"/>
              <w:rPr>
                <w:rFonts w:ascii="宋体" w:hAnsi="宋体"/>
              </w:rPr>
            </w:pPr>
            <w:r>
              <w:rPr>
                <w:rFonts w:ascii="宋体" w:hAnsi="宋体" w:hint="eastAsia"/>
              </w:rPr>
              <w:t>1</w:t>
            </w:r>
          </w:p>
        </w:tc>
        <w:tc>
          <w:tcPr>
            <w:tcBorders>
              <w:top w:val="single" w:sz="4" w:color="auto" w:space="0"/>
              <w:bottom w:val="single" w:sz="4" w:color="auto" w:space="0"/>
              <w:left w:val="single" w:sz="4" w:color="auto" w:space="0"/>
              <w:right w:val="single" w:sz="4" w:color="auto" w:space="0"/>
            </w:tcBorders>
            <w:vAlign w:val="center"/>
            <w:tcW w:w="719" w:type="dxa"/>
          </w:tcPr>
          <w:p w:rsidR="00AD2FFC" w:rsidRDefault="00625934">
            <w:pPr>
              <w:jc w:val="center"/>
              <w:rPr>
                <w:rFonts w:ascii="宋体" w:hAnsi="宋体"/>
              </w:rPr>
            </w:pPr>
            <w:r>
              <w:rPr>
                <w:rFonts w:ascii="宋体" w:hAnsi="宋体" w:hint="eastAsia"/>
              </w:rPr>
              <w:t>项</w:t>
            </w:r>
          </w:p>
        </w:tc>
      </w:tr>
      <w:bookmarkEnd w:id="0"/>
    </w:tbl>
    <w:p w:rsidR="00AD2FFC" w:rsidRDefault="00AD2FFC">
      <w:pPr>
        <w:ind w:firstLine="480"/>
        <w:spacing w:line="360" w:lineRule="auto"/>
        <w:rPr>
          <w:sz w:val="24"/>
          <w:szCs w:val="24"/>
        </w:rPr>
      </w:pPr>
    </w:p>
    <w:sectPr w:rsidR="00AD2FFC">
      <w:docGrid w:type="lines" w:linePitch="312"/>
      <w:pgSz w:w="11906" w:h="16838"/>
      <w:pgMar w:left="1800" w:right="1800" w:top="1440" w:bottom="1440" w:header="851" w:footer="992"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A24" w:rsidRDefault="00725A24"/>
  </w:endnote>
  <w:endnote w:type="continuationSeparator" w:id="0">
    <w:p w:rsidR="00725A24" w:rsidRDefault="00725A24"/>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mbria"/>
  <w:font w:name="Symbol"/>
  <w:font w:name="Arial"/>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A24" w:rsidRDefault="00725A24"/>
  </w:footnote>
  <w:footnote w:type="continuationSeparator" w:id="0">
    <w:p w:rsidR="00725A24" w:rsidRDefault="00725A24"/>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A14DD7-5BFC-4E1C-91D0-C319CE7AF9CA}"/>
  <w:rsids>
    <w:rsidRoot val="0057090F"/>
    <w:rsid val="00053AE1"/>
    <w:rsid val="00080BCA"/>
    <w:rsid val="000A69E9"/>
    <w:rsid val="00104F05"/>
    <w:rsid val="00137392"/>
    <w:rsid val="001411BF"/>
    <w:rsid val="00181E25"/>
    <w:rsid val="00250860"/>
    <w:rsid val="00287D6E"/>
    <w:rsid val="002B114F"/>
    <w:rsid val="00372AD1"/>
    <w:rsid val="003C0A15"/>
    <w:rsid val="003F1AC9"/>
    <w:rsid val="004343FA"/>
    <w:rsid val="004A1872"/>
    <w:rsid val="004E0644"/>
    <w:rsid val="005459D8"/>
    <w:rsid val="005657DD"/>
    <w:rsid val="0057090F"/>
    <w:rsid val="0059553E"/>
    <w:rsid val="005C21A7"/>
    <w:rsid val="00612F38"/>
    <w:rsid val="00624225"/>
    <w:rsid val="00625934"/>
    <w:rsid val="00667A25"/>
    <w:rsid val="007161F2"/>
    <w:rsid val="00725A24"/>
    <w:rsid val="00751748"/>
    <w:rsid val="007D7318"/>
    <w:rsid val="008A6539"/>
    <w:rsid val="008C5FD6"/>
    <w:rsid val="008E43FF"/>
    <w:rsid val="00932D08"/>
    <w:rsid val="0097140D"/>
    <w:rsid val="009747CA"/>
    <w:rsid val="009868EF"/>
    <w:rsid val="009E360E"/>
    <w:rsid val="00AD2FFC"/>
    <w:rsid val="00AE0AC7"/>
    <w:rsid val="00B13EE0"/>
    <w:rsid val="00B37289"/>
    <w:rsid val="00C868B0"/>
    <w:rsid val="00CA5877"/>
    <w:rsid val="00CF0EA7"/>
    <w:rsid val="00D23486"/>
    <w:rsid val="00DD56B2"/>
    <w:rsid val="00DF6EE4"/>
    <w:rsid val="00E36CFE"/>
    <w:rsid val="00E46FBF"/>
    <w:rsid val="00E72619"/>
    <w:rsid val="079F2933"/>
    <w:rsid val="191F6180"/>
    <w:rsid val="19BE2282"/>
    <w:rsid val="20996CC5"/>
    <w:rsid val="2A1D2E4D"/>
    <w:rsid val="2ADC09EA"/>
    <w:rsid val="2C4E5BD9"/>
    <w:rsid val="32D24EB6"/>
    <w:rsid val="36070BDF"/>
    <w:rsid val="3A5D5AA0"/>
    <w:rsid val="3C77159D"/>
    <w:rsid val="501A2188"/>
    <w:rsid val="524970FF"/>
    <w:rsid val="57FB122A"/>
    <w:rsid val="5F6554D4"/>
    <w:rsid val="605B0D17"/>
    <w:rsid val="64E11E3D"/>
    <w:rsid val="742C49BD"/>
    <w:rsid val="76AA7D55"/>
    <w:rsid val="78E82041"/>
    <w:rsid val="7C292CE4"/>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docDefaults>
    <w:rPrDefault>
      <w:rPr>
        <w:lang w:val="en-US" w:eastAsia="zh-CN" w:bidi="ar-SA"/>
        <w:rFonts w:ascii="Times New Roman" w:cs="Times New Roman" w:eastAsia="宋体" w:hAnsi="Times New Roma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rFonts w:ascii="Calibr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tblPr>
      <w:tblCellMar>
        <w:top w:w="0" w:type="dxa"/>
        <w:left w:w="108" w:type="dxa"/>
        <w:bottom w:w="0" w:type="dxa"/>
        <w:right w:w="108" w:type="dxa"/>
      </w:tblCellMar>
      <w:tblInd w:w="0" w:type="dxa"/>
    </w:tblPr>
    <w:uiPriority w:val="99"/>
    <w:semiHidden/>
    <w:unhideWhenUsed/>
  </w:style>
  <w:style w:type="numbering" w:default="1" w:styleId="a2">
    <w:name w:val="No List"/>
    <w:uiPriority w:val="99"/>
    <w:semiHidden/>
    <w:unhideWhenUsed/>
  </w:style>
  <w:style w:type="paragraph" w:styleId="a3">
    <w:name w:val="Body Text First Indent"/>
    <w:qFormat/>
    <w:basedOn w:val="a4"/>
    <w:link w:val="Char"/>
    <w:uiPriority w:val="99"/>
    <w:unhideWhenUsed/>
    <w:pPr>
      <w:ind w:firstLine="420"/>
    </w:pPr>
    <w:rPr>
      <w:rFonts w:ascii="Calibri" w:eastAsiaTheme="minorEastAsia" w:hAnsiTheme="minorHAnsi" w:cstheme="minorBidi"/>
      <w:szCs w:val="22"/>
    </w:rPr>
  </w:style>
  <w:style w:type="paragraph" w:styleId="a4">
    <w:name w:val="Body Text"/>
    <w:qFormat/>
    <w:basedOn w:val="a"/>
    <w:next w:val="a3"/>
    <w:link w:val="Char0"/>
    <w:uiPriority w:val="99"/>
    <w:pPr>
      <w:spacing w:after="120"/>
    </w:pPr>
    <w:rPr>
      <w:rFonts w:ascii="Times New Roman" w:cs="Times New Roman" w:eastAsia="宋体" w:hAnsi="Times New Roman"/>
      <w:szCs w:val="24"/>
    </w:rPr>
  </w:style>
  <w:style w:type="paragraph" w:styleId="a5">
    <w:name w:val="Plain Text"/>
    <w:basedOn w:val="a"/>
    <w:link w:val="Char1"/>
    <w:pPr>
      <w:spacing w:line="360" w:lineRule="auto"/>
    </w:pPr>
    <w:rPr>
      <w:kern w:val="0"/>
      <w:rFonts w:ascii="宋体" w:cs="Times New Roman" w:eastAsia="宋体" w:hAnsi="Courier New"/>
      <w:sz w:val="24"/>
      <w:szCs w:val="24"/>
    </w:rPr>
  </w:style>
  <w:style w:type="paragraph" w:styleId="a6">
    <w:name w:val="footer"/>
    <w:basedOn w:val="a"/>
    <w:link w:val="Char2"/>
    <w:uiPriority w:val="99"/>
    <w:unhideWhenUsed/>
    <w:pPr>
      <w:snapToGrid w:val="0"/>
      <w:jc w:val="left"/>
      <w:tabs>
        <w:tab w:val="center" w:pos="4153"/>
        <w:tab w:val="right" w:pos="8306"/>
      </w:tabs>
    </w:pPr>
    <w:rPr>
      <w:sz w:val="18"/>
      <w:szCs w:val="18"/>
    </w:rPr>
  </w:style>
  <w:style w:type="paragraph" w:styleId="a7">
    <w:name w:val="header"/>
    <w:qFormat/>
    <w:basedOn w:val="a"/>
    <w:link w:val="Char3"/>
    <w:uiPriority w:val="99"/>
    <w:unhideWhenUsed/>
    <w:pPr>
      <w:snapToGrid w:val="0"/>
      <w:pBdr>
        <w:bottom w:val="single" w:sz="6" w:color="auto" w:space="1"/>
      </w:pBdr>
      <w:jc w:val="center"/>
      <w:tabs>
        <w:tab w:val="center" w:pos="4153"/>
        <w:tab w:val="right" w:pos="8306"/>
      </w:tabs>
    </w:pPr>
    <w:rPr>
      <w:sz w:val="18"/>
      <w:szCs w:val="18"/>
    </w:rPr>
  </w:style>
  <w:style w:type="paragraph" w:styleId="a8">
    <w:name w:val="Normal (Web)"/>
    <w:basedOn w:val="a"/>
    <w:uiPriority w:val="99"/>
    <w:unhideWhenUsed/>
    <w:pPr>
      <w:widowControl/>
      <w:jc w:val="left"/>
      <w:spacing w:before="100" w:beforeAutospacing="1" w:after="100" w:afterAutospacing="1"/>
    </w:pPr>
    <w:rPr>
      <w:kern w:val="0"/>
      <w:rFonts w:ascii="宋体" w:cs="宋体" w:eastAsia="宋体" w:hAnsi="宋体"/>
      <w:sz w:val="24"/>
      <w:szCs w:val="24"/>
    </w:rPr>
  </w:style>
  <w:style w:type="character" w:styleId="a9">
    <w:name w:val="Hyperlink"/>
    <w:basedOn w:val="a0"/>
    <w:uiPriority w:val="99"/>
    <w:unhideWhenUsed/>
    <w:rPr>
      <w:u w:val="single"/>
      <w:color w:val="0000FF"/>
    </w:rPr>
  </w:style>
  <w:style w:type="character" w:styleId="Char3">
    <w:name w:val="页眉 Char"/>
    <w:qFormat/>
    <w:basedOn w:val="a0"/>
    <w:link w:val="a7"/>
    <w:uiPriority w:val="99"/>
    <w:rPr>
      <w:sz w:val="18"/>
      <w:szCs w:val="18"/>
    </w:rPr>
  </w:style>
  <w:style w:type="character" w:styleId="Char2">
    <w:name w:val="页脚 Char"/>
    <w:basedOn w:val="a0"/>
    <w:link w:val="a6"/>
    <w:uiPriority w:val="99"/>
    <w:rPr>
      <w:sz w:val="18"/>
      <w:szCs w:val="18"/>
    </w:rPr>
  </w:style>
  <w:style w:type="paragraph" w:styleId="1">
    <w:name w:val="列出段落1"/>
    <w:qFormat/>
    <w:basedOn w:val="a"/>
    <w:uiPriority w:val="34"/>
    <w:pPr>
      <w:ind w:firstLine="420"/>
    </w:pPr>
  </w:style>
  <w:style w:type="character" w:styleId="Char0">
    <w:name w:val="正文文本 Char"/>
    <w:qFormat/>
    <w:basedOn w:val="a0"/>
    <w:link w:val="a4"/>
    <w:uiPriority w:val="99"/>
    <w:rPr>
      <w:rFonts w:ascii="Times New Roman" w:cs="Times New Roman" w:eastAsia="宋体" w:hAnsi="Times New Roman"/>
      <w:szCs w:val="24"/>
    </w:rPr>
  </w:style>
  <w:style w:type="character" w:styleId="Char">
    <w:name w:val="正文首行缩进 Char"/>
    <w:qFormat/>
    <w:basedOn w:val="Char0"/>
    <w:link w:val="a3"/>
    <w:uiPriority w:val="99"/>
    <w:semiHidden/>
    <w:rPr>
      <w:rFonts w:ascii="Times New Roman" w:cs="Times New Roman" w:eastAsia="宋体" w:hAnsi="Times New Roman"/>
      <w:szCs w:val="24"/>
    </w:rPr>
  </w:style>
  <w:style w:type="character" w:styleId="Char4">
    <w:name w:val="纯文本 Char"/>
    <w:basedOn w:val="a0"/>
    <w:uiPriority w:val="99"/>
    <w:semiHidden/>
    <w:rPr>
      <w:rFonts w:ascii="宋体" w:cs="Courier New" w:eastAsia="宋体" w:hAnsi="Courier New"/>
      <w:szCs w:val="21"/>
    </w:rPr>
  </w:style>
  <w:style w:type="character" w:styleId="Char1">
    <w:name w:val="纯文本 Char1"/>
    <w:qFormat/>
    <w:link w:val="a5"/>
    <w:rPr>
      <w:kern w:val="0"/>
      <w:rFonts w:ascii="宋体" w:cs="Times New Roman" w:eastAsia="宋体" w:hAnsi="Courier New"/>
      <w:sz w:val="24"/>
      <w:szCs w:val="24"/>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581</Words>
  <Characters>3315</Characters>
  <Application>Microsoft Office Word</Application>
  <DocSecurity>0</DocSecurity>
  <Lines>27</Lines>
  <Paragraphs>7</Paragraphs>
  <ScaleCrop>false</ScaleCrop>
  <Company>Microsoft</Company>
  <LinksUpToDate>false</LinksUpToDate>
  <CharactersWithSpaces>3889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9</cp:revision>
  <dcterms:created xsi:type="dcterms:W3CDTF">2023-08-27T10:13:00Z</dcterms:created>
  <dcterms:modified xsi:type="dcterms:W3CDTF">2023-08-29T01:29:00Z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